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B5D4" w14:textId="77777777" w:rsidR="00E87AF4" w:rsidRDefault="00E87AF4" w:rsidP="00E77CA8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3AE284D0" w14:textId="77777777" w:rsidR="00E87AF4" w:rsidRDefault="00E87AF4" w:rsidP="00E77CA8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6B5C5C2C" w14:textId="107385D9" w:rsidR="00DC6AFF" w:rsidRDefault="00DC6AFF" w:rsidP="00E77CA8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9D5BC6">
        <w:rPr>
          <w:rFonts w:asciiTheme="majorHAnsi" w:hAnsiTheme="majorHAnsi" w:cstheme="majorHAnsi"/>
          <w:color w:val="auto"/>
        </w:rPr>
        <w:t>DECRETO Nº. 2</w:t>
      </w:r>
      <w:r w:rsidR="00E77CA8">
        <w:rPr>
          <w:rFonts w:asciiTheme="majorHAnsi" w:hAnsiTheme="majorHAnsi" w:cstheme="majorHAnsi"/>
          <w:color w:val="auto"/>
        </w:rPr>
        <w:t>8</w:t>
      </w:r>
      <w:r w:rsidR="00A7619D">
        <w:rPr>
          <w:rFonts w:asciiTheme="majorHAnsi" w:hAnsiTheme="majorHAnsi" w:cstheme="majorHAnsi"/>
          <w:color w:val="auto"/>
        </w:rPr>
        <w:t>6</w:t>
      </w:r>
      <w:r w:rsidRPr="009D5BC6">
        <w:rPr>
          <w:rFonts w:asciiTheme="majorHAnsi" w:hAnsiTheme="majorHAnsi" w:cstheme="majorHAnsi"/>
          <w:color w:val="auto"/>
        </w:rPr>
        <w:t xml:space="preserve">, DE  </w:t>
      </w:r>
      <w:r w:rsidR="00A7619D">
        <w:rPr>
          <w:rFonts w:asciiTheme="majorHAnsi" w:hAnsiTheme="majorHAnsi" w:cstheme="majorHAnsi"/>
          <w:color w:val="auto"/>
        </w:rPr>
        <w:t>05</w:t>
      </w:r>
      <w:r w:rsidR="00E77CA8">
        <w:rPr>
          <w:rFonts w:asciiTheme="majorHAnsi" w:hAnsiTheme="majorHAnsi" w:cstheme="majorHAnsi"/>
          <w:color w:val="auto"/>
        </w:rPr>
        <w:t xml:space="preserve"> </w:t>
      </w:r>
      <w:r w:rsidR="00EC0BE7" w:rsidRPr="009D5BC6">
        <w:rPr>
          <w:rFonts w:asciiTheme="majorHAnsi" w:hAnsiTheme="majorHAnsi" w:cstheme="majorHAnsi"/>
          <w:color w:val="auto"/>
        </w:rPr>
        <w:t xml:space="preserve"> </w:t>
      </w:r>
      <w:r w:rsidRPr="009D5BC6">
        <w:rPr>
          <w:rFonts w:asciiTheme="majorHAnsi" w:hAnsiTheme="majorHAnsi" w:cstheme="majorHAnsi"/>
          <w:color w:val="auto"/>
        </w:rPr>
        <w:t xml:space="preserve">DE </w:t>
      </w:r>
      <w:r w:rsidR="00E77CA8">
        <w:rPr>
          <w:rFonts w:asciiTheme="majorHAnsi" w:hAnsiTheme="majorHAnsi" w:cstheme="majorHAnsi"/>
          <w:color w:val="auto"/>
        </w:rPr>
        <w:t xml:space="preserve"> JU</w:t>
      </w:r>
      <w:r w:rsidR="00A7619D">
        <w:rPr>
          <w:rFonts w:asciiTheme="majorHAnsi" w:hAnsiTheme="majorHAnsi" w:cstheme="majorHAnsi"/>
          <w:color w:val="auto"/>
        </w:rPr>
        <w:t>LHO</w:t>
      </w:r>
      <w:r w:rsidRPr="009D5BC6">
        <w:rPr>
          <w:rFonts w:asciiTheme="majorHAnsi" w:hAnsiTheme="majorHAnsi" w:cstheme="majorHAnsi"/>
          <w:color w:val="auto"/>
        </w:rPr>
        <w:t xml:space="preserve"> DE 2021</w:t>
      </w:r>
    </w:p>
    <w:p w14:paraId="38D4FBDB" w14:textId="77777777" w:rsidR="00E77CA8" w:rsidRPr="009D5BC6" w:rsidRDefault="00E77CA8" w:rsidP="00E77CA8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194E06C5" w14:textId="77777777" w:rsidR="00006F02" w:rsidRPr="009D5BC6" w:rsidRDefault="00006F02" w:rsidP="00E77CA8">
      <w:pPr>
        <w:spacing w:before="6"/>
        <w:rPr>
          <w:rFonts w:asciiTheme="majorHAnsi" w:eastAsia="Arial" w:hAnsiTheme="majorHAnsi" w:cstheme="majorHAnsi"/>
          <w:b/>
          <w:bCs/>
          <w:sz w:val="24"/>
          <w:szCs w:val="24"/>
          <w:lang w:val="pt-BR"/>
        </w:rPr>
      </w:pPr>
    </w:p>
    <w:p w14:paraId="61667C8B" w14:textId="167E6395" w:rsidR="00006F02" w:rsidRPr="009D5BC6" w:rsidRDefault="00A7619D" w:rsidP="00E77CA8">
      <w:pPr>
        <w:tabs>
          <w:tab w:val="left" w:pos="6243"/>
          <w:tab w:val="left" w:pos="7115"/>
          <w:tab w:val="left" w:pos="8025"/>
          <w:tab w:val="left" w:pos="9207"/>
        </w:tabs>
        <w:spacing w:before="69"/>
        <w:ind w:left="5220" w:right="110"/>
        <w:jc w:val="both"/>
        <w:rPr>
          <w:rFonts w:asciiTheme="majorHAnsi" w:eastAsia="Arial" w:hAnsiTheme="majorHAnsi" w:cstheme="majorHAnsi"/>
          <w:sz w:val="24"/>
          <w:szCs w:val="24"/>
          <w:lang w:val="pt-BR"/>
        </w:rPr>
      </w:pPr>
      <w:r w:rsidRPr="00A7619D">
        <w:rPr>
          <w:rFonts w:asciiTheme="majorHAnsi" w:hAnsiTheme="majorHAnsi" w:cstheme="majorHAnsi"/>
          <w:iCs/>
          <w:spacing w:val="-1"/>
          <w:w w:val="95"/>
          <w:sz w:val="24"/>
          <w:szCs w:val="24"/>
          <w:lang w:val="pt-BR"/>
        </w:rPr>
        <w:t xml:space="preserve">Dispõe sobre a revogação </w:t>
      </w:r>
      <w:r>
        <w:rPr>
          <w:rFonts w:asciiTheme="majorHAnsi" w:hAnsiTheme="majorHAnsi" w:cstheme="majorHAnsi"/>
          <w:iCs/>
          <w:spacing w:val="-1"/>
          <w:w w:val="95"/>
          <w:sz w:val="24"/>
          <w:szCs w:val="24"/>
          <w:lang w:val="pt-BR"/>
        </w:rPr>
        <w:t xml:space="preserve">do Decreto </w:t>
      </w:r>
      <w:r w:rsidRPr="00A7619D">
        <w:rPr>
          <w:rFonts w:asciiTheme="majorHAnsi" w:hAnsiTheme="majorHAnsi" w:cstheme="majorHAnsi"/>
          <w:iCs/>
          <w:spacing w:val="-1"/>
          <w:w w:val="95"/>
          <w:sz w:val="24"/>
          <w:szCs w:val="24"/>
          <w:lang w:val="pt-BR"/>
        </w:rPr>
        <w:t xml:space="preserve">municipal nº </w:t>
      </w:r>
      <w:r>
        <w:rPr>
          <w:rFonts w:asciiTheme="majorHAnsi" w:hAnsiTheme="majorHAnsi" w:cstheme="majorHAnsi"/>
          <w:iCs/>
          <w:spacing w:val="-1"/>
          <w:w w:val="95"/>
          <w:sz w:val="24"/>
          <w:szCs w:val="24"/>
          <w:lang w:val="pt-BR"/>
        </w:rPr>
        <w:t>233</w:t>
      </w:r>
      <w:r w:rsidRPr="00A7619D">
        <w:rPr>
          <w:rFonts w:asciiTheme="majorHAnsi" w:hAnsiTheme="majorHAnsi" w:cstheme="majorHAnsi"/>
          <w:iCs/>
          <w:spacing w:val="-1"/>
          <w:w w:val="95"/>
          <w:sz w:val="24"/>
          <w:szCs w:val="24"/>
          <w:lang w:val="pt-BR"/>
        </w:rPr>
        <w:t>, de  1</w:t>
      </w:r>
      <w:r>
        <w:rPr>
          <w:rFonts w:asciiTheme="majorHAnsi" w:hAnsiTheme="majorHAnsi" w:cstheme="majorHAnsi"/>
          <w:iCs/>
          <w:spacing w:val="-1"/>
          <w:w w:val="95"/>
          <w:sz w:val="24"/>
          <w:szCs w:val="24"/>
          <w:lang w:val="pt-BR"/>
        </w:rPr>
        <w:t>6</w:t>
      </w:r>
      <w:r w:rsidRPr="00A7619D">
        <w:rPr>
          <w:rFonts w:asciiTheme="majorHAnsi" w:hAnsiTheme="majorHAnsi" w:cstheme="majorHAnsi"/>
          <w:iCs/>
          <w:spacing w:val="-1"/>
          <w:w w:val="95"/>
          <w:sz w:val="24"/>
          <w:szCs w:val="24"/>
          <w:lang w:val="pt-BR"/>
        </w:rPr>
        <w:t xml:space="preserve"> de </w:t>
      </w:r>
      <w:r>
        <w:rPr>
          <w:rFonts w:asciiTheme="majorHAnsi" w:hAnsiTheme="majorHAnsi" w:cstheme="majorHAnsi"/>
          <w:iCs/>
          <w:spacing w:val="-1"/>
          <w:w w:val="95"/>
          <w:sz w:val="24"/>
          <w:szCs w:val="24"/>
          <w:lang w:val="pt-BR"/>
        </w:rPr>
        <w:t xml:space="preserve">fevereiro </w:t>
      </w:r>
      <w:r w:rsidRPr="00A7619D">
        <w:rPr>
          <w:rFonts w:asciiTheme="majorHAnsi" w:hAnsiTheme="majorHAnsi" w:cstheme="majorHAnsi"/>
          <w:iCs/>
          <w:spacing w:val="-1"/>
          <w:w w:val="95"/>
          <w:sz w:val="24"/>
          <w:szCs w:val="24"/>
          <w:lang w:val="pt-BR"/>
        </w:rPr>
        <w:t xml:space="preserve">  de 2021,</w:t>
      </w:r>
      <w:r w:rsidRPr="00A7619D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 xml:space="preserve"> que </w:t>
      </w:r>
      <w:r>
        <w:rPr>
          <w:rFonts w:asciiTheme="majorHAnsi" w:hAnsiTheme="majorHAnsi" w:cstheme="majorHAnsi"/>
          <w:iCs/>
          <w:spacing w:val="-1"/>
          <w:w w:val="95"/>
          <w:sz w:val="24"/>
          <w:szCs w:val="24"/>
          <w:lang w:val="pt-BR"/>
        </w:rPr>
        <w:t xml:space="preserve">atualizou </w:t>
      </w:r>
      <w:r w:rsidRPr="00A7619D">
        <w:rPr>
          <w:rFonts w:asciiTheme="majorHAnsi" w:hAnsiTheme="majorHAnsi" w:cstheme="majorHAnsi"/>
          <w:iCs/>
          <w:spacing w:val="-1"/>
          <w:w w:val="95"/>
          <w:sz w:val="24"/>
          <w:szCs w:val="24"/>
          <w:lang w:val="pt-BR"/>
        </w:rPr>
        <w:t xml:space="preserve"> os valores  correspondentes ao auxílio-alimentação e dá outras providências</w:t>
      </w:r>
      <w:r w:rsidR="009D5BC6" w:rsidRPr="009D5BC6">
        <w:rPr>
          <w:rFonts w:asciiTheme="majorHAnsi" w:hAnsiTheme="majorHAnsi" w:cstheme="majorHAnsi"/>
          <w:iCs/>
          <w:spacing w:val="-1"/>
          <w:sz w:val="24"/>
          <w:szCs w:val="24"/>
          <w:lang w:val="pt-BR"/>
        </w:rPr>
        <w:t xml:space="preserve"> </w:t>
      </w:r>
      <w:r w:rsidR="00006F02" w:rsidRPr="009D5BC6">
        <w:rPr>
          <w:rFonts w:asciiTheme="majorHAnsi" w:hAnsiTheme="majorHAnsi" w:cstheme="majorHAnsi"/>
          <w:i/>
          <w:spacing w:val="-1"/>
          <w:sz w:val="24"/>
          <w:szCs w:val="24"/>
          <w:lang w:val="pt-BR"/>
        </w:rPr>
        <w:t>.</w:t>
      </w:r>
    </w:p>
    <w:p w14:paraId="33C4DD8D" w14:textId="5DCED3F4" w:rsidR="00006F02" w:rsidRDefault="00006F02" w:rsidP="00E77CA8">
      <w:pPr>
        <w:spacing w:before="2"/>
        <w:jc w:val="both"/>
        <w:rPr>
          <w:rFonts w:ascii="Arial" w:eastAsia="Arial" w:hAnsi="Arial" w:cs="Arial"/>
          <w:i/>
          <w:sz w:val="27"/>
          <w:szCs w:val="27"/>
          <w:lang w:val="pt-BR"/>
        </w:rPr>
      </w:pPr>
    </w:p>
    <w:p w14:paraId="62A617D9" w14:textId="77777777" w:rsidR="00E77CA8" w:rsidRPr="00DC6AFF" w:rsidRDefault="00E77CA8" w:rsidP="00E77CA8">
      <w:pPr>
        <w:spacing w:before="2"/>
        <w:jc w:val="both"/>
        <w:rPr>
          <w:rFonts w:ascii="Arial" w:eastAsia="Arial" w:hAnsi="Arial" w:cs="Arial"/>
          <w:i/>
          <w:sz w:val="27"/>
          <w:szCs w:val="27"/>
          <w:lang w:val="pt-BR"/>
        </w:rPr>
      </w:pPr>
    </w:p>
    <w:p w14:paraId="2987DBC4" w14:textId="2851D0CE" w:rsidR="00A958FE" w:rsidRDefault="00A958FE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>CONSIDERANDO a Decisão nº 417/2021 proferida pelo Tribunal de Contas do Estado de Santa Catarina nos autos do Processo @CON 21/00195659, no sentido de que “</w:t>
      </w:r>
      <w:r w:rsidRPr="00A958FE">
        <w:rPr>
          <w:rFonts w:asciiTheme="majorHAnsi" w:eastAsia="Times New Roman" w:hAnsiTheme="majorHAnsi" w:cstheme="majorHAnsi"/>
          <w:i/>
          <w:iCs/>
          <w:spacing w:val="-1"/>
          <w:sz w:val="24"/>
          <w:szCs w:val="24"/>
          <w:lang w:val="pt-BR" w:eastAsia="pt-BR"/>
        </w:rPr>
        <w:t>A revisão geral anual eventualmente concedida durante a vigência da Lei Complementar n. 173/2020 deverá ser tornada sem efeito a partir da publicação desta decisão, retornando a remuneração ao mesmo valor anteriormente vigente, exceto quando derivada de sentença judicial transitada em julgado ou de determinação legal anterior.</w:t>
      </w: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>”;</w:t>
      </w:r>
    </w:p>
    <w:p w14:paraId="65C435F1" w14:textId="77777777" w:rsidR="00E87AF4" w:rsidRDefault="00E87AF4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</w:p>
    <w:p w14:paraId="0147B351" w14:textId="4E631AF0" w:rsidR="00E87AF4" w:rsidRDefault="00E87AF4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  <w:r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>CONSIDERANDO que a D</w:t>
      </w:r>
      <w:r w:rsidRPr="00E87AF4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>ecisão também faz referência ao auxílio-alimentação, em que considera a sua inclusão na vedação da LC 173/2020, do que decorre a impossibilidade de concessão de atualização monetária da verba durante a vigência da referida legislação, salvo nas hipóteses de sentença judicial transitada em julgado ou de determinação legal anterior</w:t>
      </w:r>
      <w:r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>;</w:t>
      </w:r>
    </w:p>
    <w:p w14:paraId="219F4AC1" w14:textId="77777777" w:rsidR="00E87AF4" w:rsidRPr="00A958FE" w:rsidRDefault="00E87AF4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</w:p>
    <w:p w14:paraId="5C06A98C" w14:textId="49C62D3E" w:rsidR="00A958FE" w:rsidRDefault="00A958FE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>CONSIDERANDO, ainda, que na mesma Decisão nº 417/2021 ficou estabelecido que “</w:t>
      </w:r>
      <w:r w:rsidRPr="00A958FE">
        <w:rPr>
          <w:rFonts w:asciiTheme="majorHAnsi" w:eastAsia="Times New Roman" w:hAnsiTheme="majorHAnsi" w:cstheme="majorHAnsi"/>
          <w:i/>
          <w:iCs/>
          <w:spacing w:val="-1"/>
          <w:sz w:val="24"/>
          <w:szCs w:val="24"/>
          <w:lang w:val="pt-BR" w:eastAsia="pt-BR"/>
        </w:rPr>
        <w:t>Valores resultantes de eventual concessão de revisão geral anual, recebidos de boa-fé por servidores públicos, não precisam ser devolvidos dada a natureza alimentar da verba. Além disso, a não devolução também encontra amparo na jurisprudência consolidada do Superior Tribunal de Justiça (Tema 531 do STJ), corroborada pela Súmula n. 249 do TCU e pelo Prejulgado n. 63 deste Tribunal.</w:t>
      </w: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>”;</w:t>
      </w:r>
    </w:p>
    <w:p w14:paraId="52C277BE" w14:textId="77777777" w:rsidR="00A958FE" w:rsidRPr="00A958FE" w:rsidRDefault="00A958FE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</w:p>
    <w:p w14:paraId="06A3344F" w14:textId="1F57884B" w:rsidR="00A958FE" w:rsidRDefault="00A958FE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>CONSIDERANDO que a Decisão nº 417/2021 foi publicada no Diário Oficial Eletrônico do Tribunal de Contas do Estado de Santa Catarina nº 3.165, de 30 de junho de 2021;</w:t>
      </w:r>
    </w:p>
    <w:p w14:paraId="7C146AB4" w14:textId="77777777" w:rsidR="00E87AF4" w:rsidRPr="00A958FE" w:rsidRDefault="00E87AF4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</w:p>
    <w:p w14:paraId="3E1A6303" w14:textId="2512A968" w:rsidR="00A958FE" w:rsidRDefault="00A958FE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 xml:space="preserve">CONSIDERANDO que </w:t>
      </w:r>
      <w:r w:rsidR="00E87AF4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 xml:space="preserve">o Decreto Municipal </w:t>
      </w: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 xml:space="preserve">nº </w:t>
      </w:r>
      <w:r w:rsidR="00E87AF4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>233</w:t>
      </w: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 xml:space="preserve">, de </w:t>
      </w:r>
      <w:r w:rsidR="00E87AF4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>16</w:t>
      </w: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 xml:space="preserve"> de</w:t>
      </w:r>
      <w:r w:rsidR="00E87AF4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 xml:space="preserve"> fevereiro </w:t>
      </w: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 xml:space="preserve"> de 2021 autorizou a </w:t>
      </w:r>
      <w:r w:rsidR="00E87AF4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 xml:space="preserve">atualização de valores do auxílio-alimentação sob mesmo fundamento de índice utilizado para a concessão da revisão geral anual; </w:t>
      </w:r>
    </w:p>
    <w:p w14:paraId="78591109" w14:textId="77777777" w:rsidR="00E87AF4" w:rsidRPr="00A958FE" w:rsidRDefault="00E87AF4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</w:p>
    <w:p w14:paraId="1555394B" w14:textId="0BEF6F9F" w:rsidR="00A958FE" w:rsidRDefault="00A958FE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>CONSIDERANDO que a Decisão nº 417/2021 proferida pelo Tribunal de Contas do Estado de Santa Catarina encontra amparo nas Decisões prolatadas pelo Supremo Tribunal Federal nos autos das ADI’s nºs 6.450, 6.447 e 6.525;</w:t>
      </w:r>
    </w:p>
    <w:p w14:paraId="7B99E938" w14:textId="77777777" w:rsidR="00E87AF4" w:rsidRPr="00A958FE" w:rsidRDefault="00E87AF4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</w:p>
    <w:p w14:paraId="0183A580" w14:textId="5A950DF7" w:rsidR="00A958FE" w:rsidRDefault="00A958FE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 xml:space="preserve">CONSIDERANDO o dever de autotutela da Administração Pública, em obediência ao princípio constitucional da legalidade (art. 37, </w:t>
      </w:r>
      <w:r w:rsidRPr="00A958FE">
        <w:rPr>
          <w:rFonts w:asciiTheme="majorHAnsi" w:eastAsia="Times New Roman" w:hAnsiTheme="majorHAnsi" w:cstheme="majorHAnsi"/>
          <w:i/>
          <w:iCs/>
          <w:spacing w:val="-1"/>
          <w:sz w:val="24"/>
          <w:szCs w:val="24"/>
          <w:lang w:val="pt-BR" w:eastAsia="pt-BR"/>
        </w:rPr>
        <w:t>caput</w:t>
      </w: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 xml:space="preserve"> da CF/88), consoante estabelecido na Súmula nº 473 do Supremo Tribunal Federal;</w:t>
      </w:r>
    </w:p>
    <w:p w14:paraId="2345AA0E" w14:textId="77777777" w:rsidR="00E87AF4" w:rsidRPr="00A958FE" w:rsidRDefault="00E87AF4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</w:p>
    <w:p w14:paraId="3270DC45" w14:textId="42998F16" w:rsidR="00A958FE" w:rsidRDefault="00A958FE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>CONSIDERANDO a competência atribuída ao Tribunal de Contas do Estado de Santa Catarina pelo art. 59 da Constituição Estadual, em sintonia com os arts. 71 e 75 da Constituição Federal, assim como o dever da Administração Pública em dar cumprimento às determinações advindas dos Tribunais de Contas no exercício da competência constitucional;</w:t>
      </w:r>
    </w:p>
    <w:p w14:paraId="18131B15" w14:textId="77777777" w:rsidR="00E87AF4" w:rsidRPr="00A958FE" w:rsidRDefault="00E87AF4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</w:p>
    <w:p w14:paraId="57E62940" w14:textId="77777777" w:rsidR="00754EA2" w:rsidRDefault="00754EA2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</w:p>
    <w:p w14:paraId="50B3029A" w14:textId="77777777" w:rsidR="00754EA2" w:rsidRDefault="00754EA2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</w:p>
    <w:p w14:paraId="4EC30352" w14:textId="77777777" w:rsidR="00754EA2" w:rsidRDefault="00754EA2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</w:p>
    <w:p w14:paraId="3DAFEE6F" w14:textId="77777777" w:rsidR="00754EA2" w:rsidRDefault="00754EA2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</w:p>
    <w:p w14:paraId="38B2CACF" w14:textId="77777777" w:rsidR="00754EA2" w:rsidRDefault="00754EA2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</w:p>
    <w:p w14:paraId="2EBF0275" w14:textId="215AEFEB" w:rsidR="00A958FE" w:rsidRPr="00A958FE" w:rsidRDefault="00A958FE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>CONSIDERANDO o dever da Administração Pública primar pela segurança jurídica na aplicação das normas, consoante previsto no art. 30 do Decreto-lei nº 4.657, de 4 de setembro de 1942;</w:t>
      </w:r>
    </w:p>
    <w:p w14:paraId="70CE1B1B" w14:textId="77777777" w:rsidR="00A958FE" w:rsidRPr="00A958FE" w:rsidRDefault="00A958FE" w:rsidP="00A958FE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  <w:r w:rsidRPr="00A958FE"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  <w:t>CONSIDERANDO a NOTA TÉCNICA nº 28/2021 expedida pela Federação Catarinense de Municípios (FECAM), no sentido da necessidade de dar-se efetivo cumprimento à Decisão nº 417/2021 proferida pelo Tribunal de Contas do Estado de Santa Catarina nos autos do Processo @CON 21/00195659;</w:t>
      </w:r>
    </w:p>
    <w:p w14:paraId="2DC537C5" w14:textId="49615607" w:rsidR="004D27E6" w:rsidRPr="004D27E6" w:rsidRDefault="004D27E6" w:rsidP="00E77CA8">
      <w:pPr>
        <w:widowControl/>
        <w:ind w:right="107" w:firstLine="900"/>
        <w:jc w:val="both"/>
        <w:rPr>
          <w:rFonts w:asciiTheme="majorHAnsi" w:eastAsia="Times New Roman" w:hAnsiTheme="majorHAnsi" w:cstheme="majorHAnsi"/>
          <w:spacing w:val="-1"/>
          <w:sz w:val="24"/>
          <w:szCs w:val="24"/>
          <w:lang w:val="pt-BR" w:eastAsia="pt-BR"/>
        </w:rPr>
      </w:pPr>
    </w:p>
    <w:p w14:paraId="20D5B30C" w14:textId="77777777" w:rsidR="009D5BC6" w:rsidRPr="00E77CA8" w:rsidRDefault="009D5BC6" w:rsidP="00E77CA8">
      <w:pPr>
        <w:pStyle w:val="Corpodetexto"/>
        <w:spacing w:before="36"/>
        <w:ind w:left="0" w:right="110" w:firstLine="0"/>
        <w:rPr>
          <w:rFonts w:asciiTheme="majorHAnsi" w:hAnsiTheme="majorHAnsi" w:cstheme="majorHAnsi"/>
          <w:lang w:val="pt-BR"/>
        </w:rPr>
      </w:pPr>
    </w:p>
    <w:p w14:paraId="79803A81" w14:textId="57F9CDF3" w:rsidR="009D5BC6" w:rsidRDefault="009D5BC6" w:rsidP="00E77CA8">
      <w:pPr>
        <w:pStyle w:val="Corpodetexto"/>
        <w:spacing w:before="36"/>
        <w:ind w:right="110"/>
        <w:rPr>
          <w:rFonts w:asciiTheme="majorHAnsi" w:hAnsiTheme="majorHAnsi" w:cstheme="majorHAnsi"/>
          <w:lang w:val="pt-BR"/>
        </w:rPr>
      </w:pPr>
      <w:r w:rsidRPr="00D025CA">
        <w:rPr>
          <w:rFonts w:asciiTheme="majorHAnsi" w:hAnsiTheme="majorHAnsi" w:cstheme="majorHAnsi"/>
          <w:lang w:val="pt-BR"/>
        </w:rPr>
        <w:t>DECRETA</w:t>
      </w:r>
    </w:p>
    <w:p w14:paraId="255ED4F2" w14:textId="77777777" w:rsidR="00E87AF4" w:rsidRPr="00D025CA" w:rsidRDefault="00E87AF4" w:rsidP="00E77CA8">
      <w:pPr>
        <w:pStyle w:val="Corpodetexto"/>
        <w:spacing w:before="36"/>
        <w:ind w:right="110"/>
        <w:rPr>
          <w:rFonts w:asciiTheme="majorHAnsi" w:hAnsiTheme="majorHAnsi" w:cstheme="majorHAnsi"/>
          <w:lang w:val="pt-BR"/>
        </w:rPr>
      </w:pPr>
    </w:p>
    <w:p w14:paraId="30F38923" w14:textId="77777777" w:rsidR="009D5BC6" w:rsidRPr="00D025CA" w:rsidRDefault="009D5BC6" w:rsidP="00E77CA8">
      <w:pPr>
        <w:pStyle w:val="Corpodetexto"/>
        <w:spacing w:before="36"/>
        <w:ind w:right="110"/>
        <w:rPr>
          <w:rFonts w:asciiTheme="majorHAnsi" w:hAnsiTheme="majorHAnsi" w:cstheme="majorHAnsi"/>
          <w:lang w:val="pt-BR"/>
        </w:rPr>
      </w:pPr>
    </w:p>
    <w:p w14:paraId="32B729C3" w14:textId="7074E344" w:rsidR="00E87AF4" w:rsidRDefault="009D5BC6" w:rsidP="004F437B">
      <w:pPr>
        <w:pStyle w:val="Corpodetexto"/>
        <w:spacing w:before="36"/>
        <w:ind w:right="110"/>
        <w:jc w:val="both"/>
        <w:rPr>
          <w:rFonts w:asciiTheme="majorHAnsi" w:hAnsiTheme="majorHAnsi" w:cstheme="majorHAnsi"/>
          <w:lang w:val="pt-BR"/>
        </w:rPr>
      </w:pPr>
      <w:r w:rsidRPr="00D025CA">
        <w:rPr>
          <w:rFonts w:asciiTheme="majorHAnsi" w:hAnsiTheme="majorHAnsi" w:cstheme="majorHAnsi"/>
          <w:lang w:val="pt-BR"/>
        </w:rPr>
        <w:t xml:space="preserve">Art. 1º </w:t>
      </w:r>
      <w:r w:rsidR="00D025CA">
        <w:rPr>
          <w:rFonts w:asciiTheme="majorHAnsi" w:hAnsiTheme="majorHAnsi" w:cstheme="majorHAnsi"/>
          <w:lang w:val="pt-BR"/>
        </w:rPr>
        <w:t xml:space="preserve"> </w:t>
      </w:r>
      <w:r w:rsidR="00E87AF4" w:rsidRPr="00E87AF4">
        <w:rPr>
          <w:rFonts w:asciiTheme="majorHAnsi" w:hAnsiTheme="majorHAnsi" w:cstheme="majorHAnsi"/>
          <w:lang w:val="pt-BR"/>
        </w:rPr>
        <w:t>Fica revogad</w:t>
      </w:r>
      <w:r w:rsidR="00E87AF4">
        <w:rPr>
          <w:rFonts w:asciiTheme="majorHAnsi" w:hAnsiTheme="majorHAnsi" w:cstheme="majorHAnsi"/>
          <w:lang w:val="pt-BR"/>
        </w:rPr>
        <w:t>o</w:t>
      </w:r>
      <w:r w:rsidR="00E87AF4" w:rsidRPr="00E87AF4">
        <w:rPr>
          <w:rFonts w:asciiTheme="majorHAnsi" w:hAnsiTheme="majorHAnsi" w:cstheme="majorHAnsi"/>
          <w:lang w:val="pt-BR"/>
        </w:rPr>
        <w:t xml:space="preserve"> </w:t>
      </w:r>
      <w:r w:rsidR="00A2192E">
        <w:rPr>
          <w:rFonts w:asciiTheme="majorHAnsi" w:hAnsiTheme="majorHAnsi" w:cstheme="majorHAnsi"/>
          <w:lang w:val="pt-BR"/>
        </w:rPr>
        <w:t>o</w:t>
      </w:r>
      <w:r w:rsidR="00E87AF4" w:rsidRPr="00E87AF4">
        <w:rPr>
          <w:rFonts w:asciiTheme="majorHAnsi" w:hAnsiTheme="majorHAnsi" w:cstheme="majorHAnsi"/>
          <w:lang w:val="pt-BR"/>
        </w:rPr>
        <w:t xml:space="preserve"> </w:t>
      </w:r>
      <w:r w:rsidR="00E87AF4">
        <w:rPr>
          <w:rFonts w:asciiTheme="majorHAnsi" w:hAnsiTheme="majorHAnsi" w:cstheme="majorHAnsi"/>
          <w:lang w:val="pt-BR"/>
        </w:rPr>
        <w:t xml:space="preserve">Decreto </w:t>
      </w:r>
      <w:r w:rsidR="00E87AF4" w:rsidRPr="00E87AF4">
        <w:rPr>
          <w:rFonts w:asciiTheme="majorHAnsi" w:hAnsiTheme="majorHAnsi" w:cstheme="majorHAnsi"/>
          <w:lang w:val="pt-BR"/>
        </w:rPr>
        <w:t xml:space="preserve">municipal nº </w:t>
      </w:r>
      <w:r w:rsidR="00E87AF4">
        <w:rPr>
          <w:rFonts w:asciiTheme="majorHAnsi" w:hAnsiTheme="majorHAnsi" w:cstheme="majorHAnsi"/>
          <w:lang w:val="pt-BR"/>
        </w:rPr>
        <w:t>283</w:t>
      </w:r>
      <w:r w:rsidR="00E87AF4" w:rsidRPr="00E87AF4">
        <w:rPr>
          <w:rFonts w:asciiTheme="majorHAnsi" w:hAnsiTheme="majorHAnsi" w:cstheme="majorHAnsi"/>
          <w:lang w:val="pt-BR"/>
        </w:rPr>
        <w:t xml:space="preserve">, de </w:t>
      </w:r>
      <w:r w:rsidR="00E87AF4">
        <w:rPr>
          <w:rFonts w:asciiTheme="majorHAnsi" w:hAnsiTheme="majorHAnsi" w:cstheme="majorHAnsi"/>
          <w:lang w:val="pt-BR"/>
        </w:rPr>
        <w:t>16</w:t>
      </w:r>
      <w:r w:rsidR="00E87AF4" w:rsidRPr="00E87AF4">
        <w:rPr>
          <w:rFonts w:asciiTheme="majorHAnsi" w:hAnsiTheme="majorHAnsi" w:cstheme="majorHAnsi"/>
          <w:lang w:val="pt-BR"/>
        </w:rPr>
        <w:t xml:space="preserve"> de </w:t>
      </w:r>
      <w:r w:rsidR="00E87AF4">
        <w:rPr>
          <w:rFonts w:asciiTheme="majorHAnsi" w:hAnsiTheme="majorHAnsi" w:cstheme="majorHAnsi"/>
          <w:lang w:val="pt-BR"/>
        </w:rPr>
        <w:t xml:space="preserve">fevereiro </w:t>
      </w:r>
      <w:r w:rsidR="00E87AF4" w:rsidRPr="00E87AF4">
        <w:rPr>
          <w:rFonts w:asciiTheme="majorHAnsi" w:hAnsiTheme="majorHAnsi" w:cstheme="majorHAnsi"/>
          <w:lang w:val="pt-BR"/>
        </w:rPr>
        <w:t xml:space="preserve"> de 2021, que autorizou </w:t>
      </w:r>
      <w:r w:rsidR="00E87AF4">
        <w:rPr>
          <w:rFonts w:asciiTheme="majorHAnsi" w:hAnsiTheme="majorHAnsi" w:cstheme="majorHAnsi"/>
          <w:lang w:val="pt-BR"/>
        </w:rPr>
        <w:t xml:space="preserve"> atualização </w:t>
      </w:r>
      <w:r w:rsidR="00E87AF4" w:rsidRPr="00E87AF4">
        <w:rPr>
          <w:rFonts w:asciiTheme="majorHAnsi" w:hAnsiTheme="majorHAnsi" w:cstheme="majorHAnsi"/>
          <w:lang w:val="pt-BR"/>
        </w:rPr>
        <w:t>monetária d</w:t>
      </w:r>
      <w:r w:rsidR="00E87AF4">
        <w:rPr>
          <w:rFonts w:asciiTheme="majorHAnsi" w:hAnsiTheme="majorHAnsi" w:cstheme="majorHAnsi"/>
          <w:lang w:val="pt-BR"/>
        </w:rPr>
        <w:t>o auxílio-alimentação em 2021</w:t>
      </w:r>
      <w:r w:rsidR="00E87AF4" w:rsidRPr="00E87AF4">
        <w:rPr>
          <w:rFonts w:asciiTheme="majorHAnsi" w:hAnsiTheme="majorHAnsi" w:cstheme="majorHAnsi"/>
          <w:lang w:val="pt-BR"/>
        </w:rPr>
        <w:t>.</w:t>
      </w:r>
    </w:p>
    <w:p w14:paraId="2E1ABFFE" w14:textId="77777777" w:rsidR="00E87AF4" w:rsidRPr="00E87AF4" w:rsidRDefault="00E87AF4" w:rsidP="00E87AF4">
      <w:pPr>
        <w:pStyle w:val="Corpodetexto"/>
        <w:spacing w:before="36"/>
        <w:ind w:right="110"/>
        <w:rPr>
          <w:rFonts w:asciiTheme="majorHAnsi" w:hAnsiTheme="majorHAnsi" w:cstheme="majorHAnsi"/>
          <w:lang w:val="pt-BR"/>
        </w:rPr>
      </w:pPr>
    </w:p>
    <w:p w14:paraId="37C9DF8E" w14:textId="205F2B6B" w:rsidR="00E87AF4" w:rsidRPr="00E87AF4" w:rsidRDefault="00E87AF4" w:rsidP="004F437B">
      <w:pPr>
        <w:pStyle w:val="Corpodetexto"/>
        <w:spacing w:before="36"/>
        <w:ind w:right="110"/>
        <w:jc w:val="both"/>
        <w:rPr>
          <w:rFonts w:asciiTheme="majorHAnsi" w:hAnsiTheme="majorHAnsi" w:cstheme="majorHAnsi"/>
          <w:lang w:val="pt-BR"/>
        </w:rPr>
      </w:pPr>
      <w:r w:rsidRPr="00E87AF4">
        <w:rPr>
          <w:rFonts w:asciiTheme="majorHAnsi" w:hAnsiTheme="majorHAnsi" w:cstheme="majorHAnsi"/>
          <w:lang w:val="pt-BR"/>
        </w:rPr>
        <w:t>Art. 2º    Para fins de aplicação d</w:t>
      </w:r>
      <w:r>
        <w:rPr>
          <w:rFonts w:asciiTheme="majorHAnsi" w:hAnsiTheme="majorHAnsi" w:cstheme="majorHAnsi"/>
          <w:lang w:val="pt-BR"/>
        </w:rPr>
        <w:t>o presente Decreto</w:t>
      </w:r>
      <w:r w:rsidRPr="00E87AF4">
        <w:rPr>
          <w:rFonts w:asciiTheme="majorHAnsi" w:hAnsiTheme="majorHAnsi" w:cstheme="majorHAnsi"/>
          <w:lang w:val="pt-BR"/>
        </w:rPr>
        <w:t>, não serão objeto de devolução ao erário os pagamentos realizados com fundamento na folha de pagamento processada até a data de 30 de junho de 2021, em atenção aos princípios da segurança jurídica e da boa-fé.</w:t>
      </w:r>
    </w:p>
    <w:p w14:paraId="3DA03C43" w14:textId="77777777" w:rsidR="006C08FF" w:rsidRPr="00D025CA" w:rsidRDefault="006C08FF" w:rsidP="00E77CA8">
      <w:pPr>
        <w:pStyle w:val="Corpodetexto"/>
        <w:spacing w:before="36"/>
        <w:ind w:right="110" w:firstLine="0"/>
        <w:rPr>
          <w:rFonts w:asciiTheme="majorHAnsi" w:hAnsiTheme="majorHAnsi" w:cstheme="majorHAnsi"/>
          <w:lang w:val="pt-BR"/>
        </w:rPr>
      </w:pPr>
    </w:p>
    <w:p w14:paraId="165CAAF8" w14:textId="4FAECFD5" w:rsidR="00E87AF4" w:rsidRPr="00E87AF4" w:rsidRDefault="006C08FF" w:rsidP="00E87AF4">
      <w:pPr>
        <w:spacing w:before="5"/>
        <w:ind w:firstLine="709"/>
        <w:jc w:val="both"/>
        <w:rPr>
          <w:rFonts w:asciiTheme="majorHAnsi" w:hAnsiTheme="majorHAnsi" w:cstheme="majorHAnsi"/>
          <w:bCs/>
          <w:sz w:val="24"/>
          <w:szCs w:val="24"/>
          <w:lang w:val="pt-BR"/>
        </w:rPr>
      </w:pPr>
      <w:r w:rsidRPr="00D025CA">
        <w:rPr>
          <w:rFonts w:asciiTheme="majorHAnsi" w:eastAsia="Arial" w:hAnsiTheme="majorHAnsi" w:cstheme="majorHAnsi"/>
          <w:bCs/>
          <w:sz w:val="24"/>
          <w:szCs w:val="24"/>
          <w:lang w:val="pt-BR"/>
        </w:rPr>
        <w:t xml:space="preserve">     </w:t>
      </w:r>
      <w:r w:rsidR="00DC6AFF" w:rsidRPr="00D025CA">
        <w:rPr>
          <w:rFonts w:asciiTheme="majorHAnsi" w:hAnsiTheme="majorHAnsi" w:cstheme="majorHAnsi"/>
          <w:bCs/>
          <w:sz w:val="24"/>
          <w:szCs w:val="24"/>
          <w:lang w:val="pt-BR"/>
        </w:rPr>
        <w:t xml:space="preserve">Art. </w:t>
      </w:r>
      <w:r w:rsidR="00925819" w:rsidRPr="00D025CA">
        <w:rPr>
          <w:rFonts w:asciiTheme="majorHAnsi" w:hAnsiTheme="majorHAnsi" w:cstheme="majorHAnsi"/>
          <w:bCs/>
          <w:sz w:val="24"/>
          <w:szCs w:val="24"/>
          <w:lang w:val="pt-BR"/>
        </w:rPr>
        <w:t>3</w:t>
      </w:r>
      <w:r w:rsidR="00DC6AFF" w:rsidRPr="00D025CA">
        <w:rPr>
          <w:rFonts w:asciiTheme="majorHAnsi" w:hAnsiTheme="majorHAnsi" w:cstheme="majorHAnsi"/>
          <w:bCs/>
          <w:sz w:val="24"/>
          <w:szCs w:val="24"/>
          <w:lang w:val="pt-BR"/>
        </w:rPr>
        <w:t>º</w:t>
      </w:r>
      <w:r w:rsidR="00CA2338">
        <w:rPr>
          <w:rFonts w:asciiTheme="majorHAnsi" w:hAnsiTheme="majorHAnsi" w:cstheme="majorHAnsi"/>
          <w:bCs/>
          <w:sz w:val="24"/>
          <w:szCs w:val="24"/>
          <w:lang w:val="pt-BR"/>
        </w:rPr>
        <w:t xml:space="preserve"> </w:t>
      </w:r>
      <w:r w:rsidR="00DC6AFF" w:rsidRPr="00D025CA">
        <w:rPr>
          <w:rFonts w:asciiTheme="majorHAnsi" w:hAnsiTheme="majorHAnsi" w:cstheme="majorHAnsi"/>
          <w:bCs/>
          <w:sz w:val="24"/>
          <w:szCs w:val="24"/>
          <w:lang w:val="pt-BR"/>
        </w:rPr>
        <w:t xml:space="preserve"> Este Decreto entra em vigor na data da sua publicação</w:t>
      </w:r>
      <w:r w:rsidR="00E87AF4">
        <w:rPr>
          <w:rFonts w:asciiTheme="majorHAnsi" w:hAnsiTheme="majorHAnsi" w:cstheme="majorHAnsi"/>
          <w:sz w:val="24"/>
          <w:szCs w:val="24"/>
          <w:lang w:val="pt-BR"/>
        </w:rPr>
        <w:t xml:space="preserve">, </w:t>
      </w:r>
      <w:r w:rsidR="00E87AF4" w:rsidRPr="00E87AF4">
        <w:rPr>
          <w:rFonts w:asciiTheme="majorHAnsi" w:hAnsiTheme="majorHAnsi" w:cstheme="majorHAnsi"/>
          <w:bCs/>
          <w:sz w:val="24"/>
          <w:szCs w:val="24"/>
          <w:lang w:val="pt-BR"/>
        </w:rPr>
        <w:t>retroagindo seus efeitos a  01 de julho de 2021.</w:t>
      </w:r>
    </w:p>
    <w:p w14:paraId="0D785D8F" w14:textId="7C17AFAD" w:rsidR="00DC6AFF" w:rsidRDefault="00DC6AFF" w:rsidP="00E77CA8">
      <w:pPr>
        <w:spacing w:before="5"/>
        <w:ind w:firstLine="709"/>
        <w:jc w:val="both"/>
        <w:rPr>
          <w:rFonts w:asciiTheme="majorHAnsi" w:hAnsiTheme="majorHAnsi" w:cstheme="majorHAnsi"/>
          <w:bCs/>
          <w:sz w:val="24"/>
          <w:szCs w:val="24"/>
          <w:lang w:val="pt-BR"/>
        </w:rPr>
      </w:pPr>
      <w:r w:rsidRPr="00D025CA">
        <w:rPr>
          <w:rFonts w:asciiTheme="majorHAnsi" w:hAnsiTheme="majorHAnsi" w:cstheme="majorHAnsi"/>
          <w:bCs/>
          <w:sz w:val="24"/>
          <w:szCs w:val="24"/>
          <w:lang w:val="pt-BR"/>
        </w:rPr>
        <w:t>.</w:t>
      </w:r>
    </w:p>
    <w:p w14:paraId="5D0AD04B" w14:textId="77777777" w:rsidR="00D025CA" w:rsidRPr="00D025CA" w:rsidRDefault="00D025CA" w:rsidP="00E77CA8">
      <w:pPr>
        <w:spacing w:before="5"/>
        <w:ind w:firstLine="709"/>
        <w:jc w:val="both"/>
        <w:rPr>
          <w:rFonts w:asciiTheme="majorHAnsi" w:hAnsiTheme="majorHAnsi" w:cstheme="majorHAnsi"/>
          <w:bCs/>
          <w:sz w:val="24"/>
          <w:szCs w:val="24"/>
          <w:lang w:val="pt-BR"/>
        </w:rPr>
      </w:pPr>
    </w:p>
    <w:p w14:paraId="5DA9FF41" w14:textId="77777777" w:rsidR="00DC6AFF" w:rsidRPr="00D025CA" w:rsidRDefault="00DC6AFF" w:rsidP="00E77CA8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14:paraId="5DB24551" w14:textId="7B04A991" w:rsidR="00DC6AFF" w:rsidRDefault="00DC6AFF" w:rsidP="00E77CA8">
      <w:pPr>
        <w:jc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D025CA">
        <w:rPr>
          <w:rFonts w:asciiTheme="majorHAnsi" w:hAnsiTheme="majorHAnsi" w:cstheme="majorHAnsi"/>
          <w:sz w:val="24"/>
          <w:szCs w:val="24"/>
          <w:lang w:val="pt-BR"/>
        </w:rPr>
        <w:t xml:space="preserve">Gabinete do Prefeito, </w:t>
      </w:r>
      <w:r w:rsidR="00E87AF4">
        <w:rPr>
          <w:rFonts w:asciiTheme="majorHAnsi" w:hAnsiTheme="majorHAnsi" w:cstheme="majorHAnsi"/>
          <w:sz w:val="24"/>
          <w:szCs w:val="24"/>
          <w:lang w:val="pt-BR"/>
        </w:rPr>
        <w:t xml:space="preserve">05 </w:t>
      </w:r>
      <w:r w:rsidRPr="00D025CA">
        <w:rPr>
          <w:rFonts w:asciiTheme="majorHAnsi" w:hAnsiTheme="majorHAnsi" w:cstheme="majorHAnsi"/>
          <w:sz w:val="24"/>
          <w:szCs w:val="24"/>
          <w:lang w:val="pt-BR"/>
        </w:rPr>
        <w:t xml:space="preserve">de </w:t>
      </w:r>
      <w:r w:rsidR="004D27E6">
        <w:rPr>
          <w:rFonts w:asciiTheme="majorHAnsi" w:hAnsiTheme="majorHAnsi" w:cstheme="majorHAnsi"/>
          <w:sz w:val="24"/>
          <w:szCs w:val="24"/>
          <w:lang w:val="pt-BR"/>
        </w:rPr>
        <w:t>ju</w:t>
      </w:r>
      <w:r w:rsidR="00E87AF4">
        <w:rPr>
          <w:rFonts w:asciiTheme="majorHAnsi" w:hAnsiTheme="majorHAnsi" w:cstheme="majorHAnsi"/>
          <w:sz w:val="24"/>
          <w:szCs w:val="24"/>
          <w:lang w:val="pt-BR"/>
        </w:rPr>
        <w:t>lho</w:t>
      </w:r>
      <w:r w:rsidRPr="00D025CA">
        <w:rPr>
          <w:rFonts w:asciiTheme="majorHAnsi" w:hAnsiTheme="majorHAnsi" w:cstheme="majorHAnsi"/>
          <w:sz w:val="24"/>
          <w:szCs w:val="24"/>
          <w:lang w:val="pt-BR"/>
        </w:rPr>
        <w:t xml:space="preserve"> de 2021.</w:t>
      </w:r>
    </w:p>
    <w:p w14:paraId="47F51431" w14:textId="20146F33" w:rsidR="00E77CA8" w:rsidRDefault="00E77CA8" w:rsidP="00E77CA8">
      <w:pPr>
        <w:jc w:val="center"/>
        <w:rPr>
          <w:rFonts w:asciiTheme="majorHAnsi" w:hAnsiTheme="majorHAnsi" w:cstheme="majorHAnsi"/>
          <w:sz w:val="24"/>
          <w:szCs w:val="24"/>
          <w:lang w:val="pt-BR"/>
        </w:rPr>
      </w:pPr>
    </w:p>
    <w:p w14:paraId="4AFAB15F" w14:textId="77777777" w:rsidR="00E77CA8" w:rsidRPr="00D025CA" w:rsidRDefault="00E77CA8" w:rsidP="00E77CA8">
      <w:pPr>
        <w:jc w:val="center"/>
        <w:rPr>
          <w:rFonts w:asciiTheme="majorHAnsi" w:hAnsiTheme="majorHAnsi" w:cstheme="majorHAnsi"/>
          <w:sz w:val="24"/>
          <w:szCs w:val="24"/>
          <w:lang w:val="pt-BR"/>
        </w:rPr>
      </w:pPr>
    </w:p>
    <w:p w14:paraId="1B1A1310" w14:textId="77777777" w:rsidR="00DC6AFF" w:rsidRPr="00D025CA" w:rsidRDefault="00DC6AFF" w:rsidP="00E77CA8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14:paraId="64286D44" w14:textId="77777777" w:rsidR="00DC6AFF" w:rsidRPr="00D025CA" w:rsidRDefault="00DC6AFF" w:rsidP="00E87AF4">
      <w:pPr>
        <w:jc w:val="center"/>
        <w:rPr>
          <w:rFonts w:asciiTheme="majorHAnsi" w:hAnsiTheme="majorHAnsi" w:cstheme="majorHAnsi"/>
          <w:sz w:val="24"/>
          <w:szCs w:val="24"/>
          <w:lang w:val="pt-BR"/>
        </w:rPr>
      </w:pPr>
    </w:p>
    <w:p w14:paraId="5147D353" w14:textId="3C652373" w:rsidR="00E77CA8" w:rsidRPr="00E77CA8" w:rsidRDefault="00DC6AFF" w:rsidP="00E87AF4">
      <w:pPr>
        <w:jc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D025CA">
        <w:rPr>
          <w:rFonts w:asciiTheme="majorHAnsi" w:hAnsiTheme="majorHAnsi" w:cstheme="majorHAnsi"/>
          <w:sz w:val="24"/>
          <w:szCs w:val="24"/>
          <w:lang w:val="pt-BR"/>
        </w:rPr>
        <w:t>DERLI ANTONIO DE OLIVEIRA</w:t>
      </w:r>
    </w:p>
    <w:p w14:paraId="55ABF9F4" w14:textId="2052B0DB" w:rsidR="00DC6AFF" w:rsidRPr="00D025CA" w:rsidRDefault="00E77CA8" w:rsidP="00E87AF4">
      <w:pPr>
        <w:jc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E77CA8">
        <w:rPr>
          <w:rFonts w:asciiTheme="majorHAnsi" w:hAnsiTheme="majorHAnsi" w:cstheme="majorHAnsi"/>
          <w:sz w:val="24"/>
          <w:szCs w:val="24"/>
          <w:lang w:val="pt-BR"/>
        </w:rPr>
        <w:t>PREFEITO MUNICIPAL</w:t>
      </w:r>
    </w:p>
    <w:sectPr w:rsidR="00DC6AFF" w:rsidRPr="00D025CA" w:rsidSect="00E77CA8">
      <w:headerReference w:type="default" r:id="rId7"/>
      <w:footerReference w:type="default" r:id="rId8"/>
      <w:pgSz w:w="11910" w:h="16840"/>
      <w:pgMar w:top="1191" w:right="1021" w:bottom="907" w:left="1191" w:header="567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F96B" w14:textId="77777777" w:rsidR="00F540A5" w:rsidRDefault="00F540A5" w:rsidP="00006F02">
      <w:r>
        <w:separator/>
      </w:r>
    </w:p>
  </w:endnote>
  <w:endnote w:type="continuationSeparator" w:id="0">
    <w:p w14:paraId="333A6821" w14:textId="77777777" w:rsidR="00F540A5" w:rsidRDefault="00F540A5" w:rsidP="0000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B0F0" w14:textId="77777777" w:rsidR="00EC52A2" w:rsidRDefault="00A2192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E2C0" w14:textId="77777777" w:rsidR="00F540A5" w:rsidRDefault="00F540A5" w:rsidP="00006F02">
      <w:r>
        <w:separator/>
      </w:r>
    </w:p>
  </w:footnote>
  <w:footnote w:type="continuationSeparator" w:id="0">
    <w:p w14:paraId="7B200936" w14:textId="77777777" w:rsidR="00F540A5" w:rsidRDefault="00F540A5" w:rsidP="0000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70B4" w14:textId="77777777" w:rsidR="00EC52A2" w:rsidRDefault="00A2192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8106A"/>
    <w:multiLevelType w:val="hybridMultilevel"/>
    <w:tmpl w:val="AA144B7C"/>
    <w:lvl w:ilvl="0" w:tplc="48A2EB30">
      <w:start w:val="1"/>
      <w:numFmt w:val="upperRoman"/>
      <w:lvlText w:val="%1"/>
      <w:lvlJc w:val="left"/>
      <w:pPr>
        <w:ind w:left="118" w:hanging="137"/>
        <w:jc w:val="left"/>
      </w:pPr>
      <w:rPr>
        <w:rFonts w:ascii="Arial" w:eastAsia="Arial" w:hAnsi="Arial" w:hint="default"/>
        <w:sz w:val="24"/>
        <w:szCs w:val="24"/>
      </w:rPr>
    </w:lvl>
    <w:lvl w:ilvl="1" w:tplc="44EA13D2">
      <w:start w:val="1"/>
      <w:numFmt w:val="bullet"/>
      <w:lvlText w:val="•"/>
      <w:lvlJc w:val="left"/>
      <w:pPr>
        <w:ind w:left="1065" w:hanging="137"/>
      </w:pPr>
      <w:rPr>
        <w:rFonts w:hint="default"/>
      </w:rPr>
    </w:lvl>
    <w:lvl w:ilvl="2" w:tplc="A72A709E">
      <w:start w:val="1"/>
      <w:numFmt w:val="bullet"/>
      <w:lvlText w:val="•"/>
      <w:lvlJc w:val="left"/>
      <w:pPr>
        <w:ind w:left="2012" w:hanging="137"/>
      </w:pPr>
      <w:rPr>
        <w:rFonts w:hint="default"/>
      </w:rPr>
    </w:lvl>
    <w:lvl w:ilvl="3" w:tplc="E50A5A60">
      <w:start w:val="1"/>
      <w:numFmt w:val="bullet"/>
      <w:lvlText w:val="•"/>
      <w:lvlJc w:val="left"/>
      <w:pPr>
        <w:ind w:left="2958" w:hanging="137"/>
      </w:pPr>
      <w:rPr>
        <w:rFonts w:hint="default"/>
      </w:rPr>
    </w:lvl>
    <w:lvl w:ilvl="4" w:tplc="A4FCD320">
      <w:start w:val="1"/>
      <w:numFmt w:val="bullet"/>
      <w:lvlText w:val="•"/>
      <w:lvlJc w:val="left"/>
      <w:pPr>
        <w:ind w:left="3905" w:hanging="137"/>
      </w:pPr>
      <w:rPr>
        <w:rFonts w:hint="default"/>
      </w:rPr>
    </w:lvl>
    <w:lvl w:ilvl="5" w:tplc="EA880B22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6" w:tplc="86DACE42">
      <w:start w:val="1"/>
      <w:numFmt w:val="bullet"/>
      <w:lvlText w:val="•"/>
      <w:lvlJc w:val="left"/>
      <w:pPr>
        <w:ind w:left="5799" w:hanging="137"/>
      </w:pPr>
      <w:rPr>
        <w:rFonts w:hint="default"/>
      </w:rPr>
    </w:lvl>
    <w:lvl w:ilvl="7" w:tplc="2E222E50">
      <w:start w:val="1"/>
      <w:numFmt w:val="bullet"/>
      <w:lvlText w:val="•"/>
      <w:lvlJc w:val="left"/>
      <w:pPr>
        <w:ind w:left="6746" w:hanging="137"/>
      </w:pPr>
      <w:rPr>
        <w:rFonts w:hint="default"/>
      </w:rPr>
    </w:lvl>
    <w:lvl w:ilvl="8" w:tplc="03481898">
      <w:start w:val="1"/>
      <w:numFmt w:val="bullet"/>
      <w:lvlText w:val="•"/>
      <w:lvlJc w:val="left"/>
      <w:pPr>
        <w:ind w:left="7692" w:hanging="137"/>
      </w:pPr>
      <w:rPr>
        <w:rFonts w:hint="default"/>
      </w:rPr>
    </w:lvl>
  </w:abstractNum>
  <w:abstractNum w:abstractNumId="1" w15:restartNumberingAfterBreak="0">
    <w:nsid w:val="51E5029F"/>
    <w:multiLevelType w:val="hybridMultilevel"/>
    <w:tmpl w:val="6A547230"/>
    <w:lvl w:ilvl="0" w:tplc="2EC82018">
      <w:start w:val="1"/>
      <w:numFmt w:val="upperRoman"/>
      <w:lvlText w:val="%1"/>
      <w:lvlJc w:val="left"/>
      <w:pPr>
        <w:ind w:left="118" w:hanging="130"/>
        <w:jc w:val="left"/>
      </w:pPr>
      <w:rPr>
        <w:rFonts w:ascii="Arial" w:eastAsia="Arial" w:hAnsi="Arial" w:hint="default"/>
        <w:sz w:val="24"/>
        <w:szCs w:val="24"/>
      </w:rPr>
    </w:lvl>
    <w:lvl w:ilvl="1" w:tplc="B3C665DC">
      <w:start w:val="1"/>
      <w:numFmt w:val="bullet"/>
      <w:lvlText w:val="•"/>
      <w:lvlJc w:val="left"/>
      <w:pPr>
        <w:ind w:left="1065" w:hanging="130"/>
      </w:pPr>
      <w:rPr>
        <w:rFonts w:hint="default"/>
      </w:rPr>
    </w:lvl>
    <w:lvl w:ilvl="2" w:tplc="4260C6BC">
      <w:start w:val="1"/>
      <w:numFmt w:val="bullet"/>
      <w:lvlText w:val="•"/>
      <w:lvlJc w:val="left"/>
      <w:pPr>
        <w:ind w:left="2012" w:hanging="130"/>
      </w:pPr>
      <w:rPr>
        <w:rFonts w:hint="default"/>
      </w:rPr>
    </w:lvl>
    <w:lvl w:ilvl="3" w:tplc="90EA05C6">
      <w:start w:val="1"/>
      <w:numFmt w:val="bullet"/>
      <w:lvlText w:val="•"/>
      <w:lvlJc w:val="left"/>
      <w:pPr>
        <w:ind w:left="2958" w:hanging="130"/>
      </w:pPr>
      <w:rPr>
        <w:rFonts w:hint="default"/>
      </w:rPr>
    </w:lvl>
    <w:lvl w:ilvl="4" w:tplc="D7C68814">
      <w:start w:val="1"/>
      <w:numFmt w:val="bullet"/>
      <w:lvlText w:val="•"/>
      <w:lvlJc w:val="left"/>
      <w:pPr>
        <w:ind w:left="3905" w:hanging="130"/>
      </w:pPr>
      <w:rPr>
        <w:rFonts w:hint="default"/>
      </w:rPr>
    </w:lvl>
    <w:lvl w:ilvl="5" w:tplc="10BE9968">
      <w:start w:val="1"/>
      <w:numFmt w:val="bullet"/>
      <w:lvlText w:val="•"/>
      <w:lvlJc w:val="left"/>
      <w:pPr>
        <w:ind w:left="4852" w:hanging="130"/>
      </w:pPr>
      <w:rPr>
        <w:rFonts w:hint="default"/>
      </w:rPr>
    </w:lvl>
    <w:lvl w:ilvl="6" w:tplc="C284EE70">
      <w:start w:val="1"/>
      <w:numFmt w:val="bullet"/>
      <w:lvlText w:val="•"/>
      <w:lvlJc w:val="left"/>
      <w:pPr>
        <w:ind w:left="5799" w:hanging="130"/>
      </w:pPr>
      <w:rPr>
        <w:rFonts w:hint="default"/>
      </w:rPr>
    </w:lvl>
    <w:lvl w:ilvl="7" w:tplc="F62484DE">
      <w:start w:val="1"/>
      <w:numFmt w:val="bullet"/>
      <w:lvlText w:val="•"/>
      <w:lvlJc w:val="left"/>
      <w:pPr>
        <w:ind w:left="6746" w:hanging="130"/>
      </w:pPr>
      <w:rPr>
        <w:rFonts w:hint="default"/>
      </w:rPr>
    </w:lvl>
    <w:lvl w:ilvl="8" w:tplc="DB66644A">
      <w:start w:val="1"/>
      <w:numFmt w:val="bullet"/>
      <w:lvlText w:val="•"/>
      <w:lvlJc w:val="left"/>
      <w:pPr>
        <w:ind w:left="7692" w:hanging="130"/>
      </w:pPr>
      <w:rPr>
        <w:rFonts w:hint="default"/>
      </w:rPr>
    </w:lvl>
  </w:abstractNum>
  <w:abstractNum w:abstractNumId="2" w15:restartNumberingAfterBreak="0">
    <w:nsid w:val="63FD35F8"/>
    <w:multiLevelType w:val="hybridMultilevel"/>
    <w:tmpl w:val="37480DB0"/>
    <w:lvl w:ilvl="0" w:tplc="8C1A4396">
      <w:start w:val="1"/>
      <w:numFmt w:val="upperRoman"/>
      <w:lvlText w:val="%1"/>
      <w:lvlJc w:val="left"/>
      <w:pPr>
        <w:ind w:left="118" w:hanging="134"/>
        <w:jc w:val="left"/>
      </w:pPr>
      <w:rPr>
        <w:rFonts w:ascii="Arial" w:eastAsia="Arial" w:hAnsi="Arial" w:hint="default"/>
        <w:sz w:val="24"/>
        <w:szCs w:val="24"/>
      </w:rPr>
    </w:lvl>
    <w:lvl w:ilvl="1" w:tplc="56101BE8">
      <w:start w:val="1"/>
      <w:numFmt w:val="bullet"/>
      <w:lvlText w:val="•"/>
      <w:lvlJc w:val="left"/>
      <w:pPr>
        <w:ind w:left="1065" w:hanging="134"/>
      </w:pPr>
      <w:rPr>
        <w:rFonts w:hint="default"/>
      </w:rPr>
    </w:lvl>
    <w:lvl w:ilvl="2" w:tplc="EE4EB68E">
      <w:start w:val="1"/>
      <w:numFmt w:val="bullet"/>
      <w:lvlText w:val="•"/>
      <w:lvlJc w:val="left"/>
      <w:pPr>
        <w:ind w:left="2012" w:hanging="134"/>
      </w:pPr>
      <w:rPr>
        <w:rFonts w:hint="default"/>
      </w:rPr>
    </w:lvl>
    <w:lvl w:ilvl="3" w:tplc="1132F39A">
      <w:start w:val="1"/>
      <w:numFmt w:val="bullet"/>
      <w:lvlText w:val="•"/>
      <w:lvlJc w:val="left"/>
      <w:pPr>
        <w:ind w:left="2958" w:hanging="134"/>
      </w:pPr>
      <w:rPr>
        <w:rFonts w:hint="default"/>
      </w:rPr>
    </w:lvl>
    <w:lvl w:ilvl="4" w:tplc="DE20FB90">
      <w:start w:val="1"/>
      <w:numFmt w:val="bullet"/>
      <w:lvlText w:val="•"/>
      <w:lvlJc w:val="left"/>
      <w:pPr>
        <w:ind w:left="3905" w:hanging="134"/>
      </w:pPr>
      <w:rPr>
        <w:rFonts w:hint="default"/>
      </w:rPr>
    </w:lvl>
    <w:lvl w:ilvl="5" w:tplc="5DB667D4">
      <w:start w:val="1"/>
      <w:numFmt w:val="bullet"/>
      <w:lvlText w:val="•"/>
      <w:lvlJc w:val="left"/>
      <w:pPr>
        <w:ind w:left="4852" w:hanging="134"/>
      </w:pPr>
      <w:rPr>
        <w:rFonts w:hint="default"/>
      </w:rPr>
    </w:lvl>
    <w:lvl w:ilvl="6" w:tplc="A02AE63A">
      <w:start w:val="1"/>
      <w:numFmt w:val="bullet"/>
      <w:lvlText w:val="•"/>
      <w:lvlJc w:val="left"/>
      <w:pPr>
        <w:ind w:left="5799" w:hanging="134"/>
      </w:pPr>
      <w:rPr>
        <w:rFonts w:hint="default"/>
      </w:rPr>
    </w:lvl>
    <w:lvl w:ilvl="7" w:tplc="D86408F4">
      <w:start w:val="1"/>
      <w:numFmt w:val="bullet"/>
      <w:lvlText w:val="•"/>
      <w:lvlJc w:val="left"/>
      <w:pPr>
        <w:ind w:left="6746" w:hanging="134"/>
      </w:pPr>
      <w:rPr>
        <w:rFonts w:hint="default"/>
      </w:rPr>
    </w:lvl>
    <w:lvl w:ilvl="8" w:tplc="D2EADC72">
      <w:start w:val="1"/>
      <w:numFmt w:val="bullet"/>
      <w:lvlText w:val="•"/>
      <w:lvlJc w:val="left"/>
      <w:pPr>
        <w:ind w:left="7692" w:hanging="1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2F"/>
    <w:rsid w:val="00006F02"/>
    <w:rsid w:val="00165234"/>
    <w:rsid w:val="002C3174"/>
    <w:rsid w:val="003D0279"/>
    <w:rsid w:val="00400B4F"/>
    <w:rsid w:val="004B37C3"/>
    <w:rsid w:val="004D27E6"/>
    <w:rsid w:val="004F437B"/>
    <w:rsid w:val="006C08FF"/>
    <w:rsid w:val="00754EA2"/>
    <w:rsid w:val="00925819"/>
    <w:rsid w:val="009D5BC6"/>
    <w:rsid w:val="00A2192E"/>
    <w:rsid w:val="00A43A2F"/>
    <w:rsid w:val="00A7619D"/>
    <w:rsid w:val="00A9550E"/>
    <w:rsid w:val="00A958FE"/>
    <w:rsid w:val="00B16A93"/>
    <w:rsid w:val="00B619A7"/>
    <w:rsid w:val="00CA2338"/>
    <w:rsid w:val="00D025CA"/>
    <w:rsid w:val="00DC6AFF"/>
    <w:rsid w:val="00E77CA8"/>
    <w:rsid w:val="00E87AF4"/>
    <w:rsid w:val="00EC0BE7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4B9C59"/>
  <w15:chartTrackingRefBased/>
  <w15:docId w15:val="{A502302B-2BA7-4947-91C7-8C1CFF8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F02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F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6F02"/>
    <w:pPr>
      <w:ind w:left="118" w:firstLine="85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F02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006F02"/>
  </w:style>
  <w:style w:type="paragraph" w:customStyle="1" w:styleId="TableParagraph">
    <w:name w:val="Table Paragraph"/>
    <w:basedOn w:val="Normal"/>
    <w:uiPriority w:val="1"/>
    <w:qFormat/>
    <w:rsid w:val="00006F02"/>
  </w:style>
  <w:style w:type="paragraph" w:styleId="Cabealho">
    <w:name w:val="header"/>
    <w:basedOn w:val="Normal"/>
    <w:link w:val="Cabealho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F0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F02"/>
    <w:rPr>
      <w:lang w:val="en-US"/>
    </w:rPr>
  </w:style>
  <w:style w:type="paragraph" w:customStyle="1" w:styleId="Default">
    <w:name w:val="Default"/>
    <w:rsid w:val="00DC6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Katia Melissa</cp:lastModifiedBy>
  <cp:revision>5</cp:revision>
  <cp:lastPrinted>2021-07-05T11:30:00Z</cp:lastPrinted>
  <dcterms:created xsi:type="dcterms:W3CDTF">2021-07-05T11:12:00Z</dcterms:created>
  <dcterms:modified xsi:type="dcterms:W3CDTF">2021-07-05T12:26:00Z</dcterms:modified>
</cp:coreProperties>
</file>